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left="-851" w:right="0" w:firstLine="851"/>
        <w:jc w:val="center"/>
        <w:rPr>
          <w:rFonts w:ascii="PT Astra Serif" w:hAnsi="PT Astra Serif"/>
          <w:b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widowControl w:val="false"/>
        <w:ind w:left="-851" w:right="0" w:firstLine="851"/>
        <w:jc w:val="right"/>
        <w:rPr/>
      </w:pPr>
      <w:r>
        <w:rPr/>
        <w:t>Приложение № 1 к распоряжению</w:t>
      </w:r>
    </w:p>
    <w:p>
      <w:pPr>
        <w:pStyle w:val="Normal"/>
        <w:widowControl w:val="false"/>
        <w:ind w:left="-851" w:right="0" w:firstLine="851"/>
        <w:jc w:val="right"/>
        <w:rPr/>
      </w:pPr>
      <w:r>
        <w:rPr/>
        <w:t>МТУ Росимущества в Тамбовской и Липецкой областях</w:t>
      </w:r>
    </w:p>
    <w:p>
      <w:pPr>
        <w:pStyle w:val="Normal"/>
        <w:widowControl w:val="false"/>
        <w:ind w:left="-851" w:right="0" w:firstLine="851"/>
        <w:jc w:val="right"/>
        <w:rPr/>
      </w:pPr>
      <w:r>
        <w:rPr/>
        <w:t>от  «_</w:t>
      </w:r>
      <w:r>
        <w:rPr/>
        <w:t>06</w:t>
      </w:r>
      <w:r>
        <w:rPr/>
        <w:t>___» июля 2026 г.</w:t>
      </w:r>
    </w:p>
    <w:p>
      <w:pPr>
        <w:pStyle w:val="Normal"/>
        <w:widowControl w:val="false"/>
        <w:ind w:left="-851" w:right="0" w:firstLine="851"/>
        <w:jc w:val="center"/>
        <w:rPr>
          <w:rFonts w:ascii="PT Astra Serif" w:hAnsi="PT Astra Serif"/>
          <w:b/>
          <w:b/>
          <w:sz w:val="24"/>
        </w:rPr>
      </w:pPr>
      <w:r>
        <w:rPr>
          <w:rFonts w:ascii="PT Astra Serif" w:hAnsi="PT Astra Serif"/>
          <w:b/>
          <w:sz w:val="24"/>
        </w:rPr>
        <w:t xml:space="preserve"> </w:t>
      </w:r>
      <w:r>
        <w:rPr>
          <w:rFonts w:ascii="PT Astra Serif" w:hAnsi="PT Astra Serif"/>
          <w:b/>
          <w:sz w:val="24"/>
        </w:rPr>
        <w:t xml:space="preserve">Межрегиональное территориальное управление Федерального агентства по управлению государственным имуществом в  </w:t>
      </w:r>
      <w:r>
        <w:rPr>
          <w:rFonts w:ascii="PT Astra Serif" w:hAnsi="PT Astra Serif"/>
          <w:b/>
          <w:color w:val="000000"/>
          <w:spacing w:val="-2"/>
          <w:sz w:val="24"/>
          <w:szCs w:val="20"/>
          <w:shd w:fill="FFFFFF" w:val="clear"/>
        </w:rPr>
        <w:t>в Тамбовской и Липецкой областях</w:t>
      </w:r>
    </w:p>
    <w:p>
      <w:pPr>
        <w:pStyle w:val="Normal"/>
        <w:widowControl w:val="false"/>
        <w:ind w:left="567" w:right="565" w:hanging="0"/>
        <w:jc w:val="center"/>
        <w:rPr>
          <w:rFonts w:ascii="PT Astra Serif" w:hAnsi="PT Astra Serif"/>
          <w:b/>
          <w:b/>
          <w:sz w:val="24"/>
        </w:rPr>
      </w:pPr>
      <w:r>
        <w:rPr>
          <w:rFonts w:ascii="PT Astra Serif" w:hAnsi="PT Astra Serif"/>
          <w:b/>
          <w:sz w:val="24"/>
          <w:u w:val="single"/>
        </w:rPr>
        <w:t>извещает</w:t>
      </w:r>
      <w:r>
        <w:rPr>
          <w:rFonts w:ascii="PT Astra Serif" w:hAnsi="PT Astra Serif"/>
          <w:b/>
          <w:sz w:val="24"/>
        </w:rPr>
        <w:t xml:space="preserve"> о проведении электронного аукциона по продаже земельного участка, находящегося в федеральной собственности</w:t>
      </w:r>
    </w:p>
    <w:p>
      <w:pPr>
        <w:pStyle w:val="Normal"/>
        <w:widowControl w:val="false"/>
        <w:ind w:left="567" w:right="565" w:hanging="0"/>
        <w:jc w:val="center"/>
        <w:rPr>
          <w:rFonts w:ascii="PT Astra Serif" w:hAnsi="PT Astra Serif"/>
          <w:b/>
          <w:b/>
          <w:sz w:val="24"/>
        </w:rPr>
      </w:pPr>
      <w:r>
        <w:rPr>
          <w:rFonts w:ascii="PT Astra Serif" w:hAnsi="PT Astra Serif"/>
          <w:b/>
          <w:sz w:val="24"/>
        </w:rPr>
      </w:r>
    </w:p>
    <w:tbl>
      <w:tblPr>
        <w:tblStyle w:val="787"/>
        <w:tblW w:w="10064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38"/>
        <w:gridCol w:w="2519"/>
        <w:gridCol w:w="7007"/>
      </w:tblGrid>
      <w:tr>
        <w:trPr>
          <w:trHeight w:val="29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1.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Форма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 торгов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Аукцион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в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электронной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форме</w:t>
            </w:r>
          </w:p>
        </w:tc>
      </w:tr>
      <w:tr>
        <w:trPr>
          <w:trHeight w:val="69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2.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Наименование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официального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сайта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Официальный</w:t>
            </w:r>
            <w:r>
              <w:rPr>
                <w:color w:val="000000"/>
                <w:spacing w:val="8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сайт</w:t>
            </w:r>
            <w:r>
              <w:rPr>
                <w:color w:val="000000"/>
                <w:spacing w:val="8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Российской</w:t>
            </w:r>
            <w:r>
              <w:rPr>
                <w:color w:val="000000"/>
                <w:spacing w:val="8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Федерации</w:t>
            </w:r>
            <w:r>
              <w:rPr>
                <w:color w:val="000000"/>
                <w:spacing w:val="8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для</w:t>
            </w:r>
            <w:r>
              <w:rPr>
                <w:color w:val="000000"/>
                <w:spacing w:val="8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размещения информации о проведении торгов (</w:t>
            </w:r>
            <w:hyperlink r:id="rId2" w:tgtFrame="http://www.torgi.gov.ru/">
              <w:r>
                <w:rPr>
                  <w:color w:val="0000FF"/>
                  <w:spacing w:val="0"/>
                  <w:kern w:val="0"/>
                  <w:sz w:val="24"/>
                  <w:szCs w:val="20"/>
                  <w:u w:val="single"/>
                </w:rPr>
                <w:t>www.torgi.gov.ru</w:t>
              </w:r>
            </w:hyperlink>
            <w:r>
              <w:rPr>
                <w:color w:val="000000"/>
                <w:spacing w:val="0"/>
                <w:kern w:val="0"/>
                <w:sz w:val="24"/>
                <w:szCs w:val="20"/>
              </w:rPr>
              <w:t>)</w:t>
            </w:r>
          </w:p>
        </w:tc>
      </w:tr>
      <w:tr>
        <w:trPr>
          <w:trHeight w:val="61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3.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76" w:before="0" w:after="0"/>
              <w:ind w:left="57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Место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проведения электронного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аукциона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Электронная</w:t>
            </w:r>
            <w:r>
              <w:rPr>
                <w:color w:val="000000"/>
                <w:spacing w:val="3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площадка</w:t>
            </w:r>
            <w:r>
              <w:rPr>
                <w:color w:val="000000"/>
                <w:spacing w:val="38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РТС-тендер</w:t>
            </w:r>
            <w:r>
              <w:rPr>
                <w:color w:val="000000"/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(</w:t>
            </w:r>
            <w:hyperlink r:id="rId3" w:tgtFrame="http://www.rts-tender.ru/">
              <w:r>
                <w:rPr>
                  <w:color w:val="0000FF"/>
                  <w:spacing w:val="0"/>
                  <w:kern w:val="0"/>
                  <w:sz w:val="24"/>
                  <w:szCs w:val="20"/>
                  <w:u w:val="single"/>
                </w:rPr>
                <w:t>www.rts-tender.ru</w:t>
              </w:r>
            </w:hyperlink>
            <w:r>
              <w:rPr>
                <w:color w:val="000000"/>
                <w:spacing w:val="0"/>
                <w:kern w:val="0"/>
                <w:sz w:val="24"/>
                <w:szCs w:val="20"/>
              </w:rPr>
              <w:t>)</w:t>
            </w:r>
            <w:r>
              <w:rPr>
                <w:color w:val="000000"/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(далее</w:t>
            </w:r>
            <w:r>
              <w:rPr>
                <w:color w:val="000000"/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– электронная площадка)</w:t>
            </w:r>
          </w:p>
        </w:tc>
      </w:tr>
      <w:tr>
        <w:trPr>
          <w:trHeight w:val="1379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4.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Организатор электронного аукциона (уполномоченный орган)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Межрегиональное территориальное управление Федерального агентства по управлению государственным имуществом в Тамбовской и Липецкой областях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 (МТУ Росимущества в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Тамбовской и Липецкой областях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Адрес: 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 xml:space="preserve">392000, Тамбовская область, г. Тамбов, ул. Московская, д.65.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Телефон: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 xml:space="preserve"> 8(4752) 71-20-99, 71-97-56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Электронный адрес:  </w:t>
            </w:r>
            <w:hyperlink r:id="rId4" w:tgtFrame="http://www.tu34@rosim.ru">
              <w:r>
                <w:rPr>
                  <w:color w:val="000000"/>
                  <w:spacing w:val="-2"/>
                  <w:kern w:val="0"/>
                  <w:sz w:val="24"/>
                  <w:szCs w:val="20"/>
                  <w:shd w:fill="FFFFFF" w:val="clear"/>
                </w:rPr>
                <w:t>tu68@rosim.gov.ru</w:t>
              </w:r>
            </w:hyperlink>
          </w:p>
        </w:tc>
      </w:tr>
      <w:tr>
        <w:trPr>
          <w:trHeight w:val="110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5.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Реквизиты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решения </w:t>
            </w:r>
            <w:r>
              <w:rPr>
                <w:b w:val="false"/>
                <w:bCs w:val="false"/>
                <w:color w:val="000000"/>
                <w:spacing w:val="-2"/>
                <w:kern w:val="0"/>
                <w:sz w:val="24"/>
                <w:szCs w:val="20"/>
              </w:rPr>
              <w:t xml:space="preserve">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pacing w:val="-2"/>
                <w:kern w:val="0"/>
                <w:sz w:val="24"/>
                <w:szCs w:val="20"/>
              </w:rPr>
              <w:t>о проведении аукциона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pacing w:val="-2"/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Распоряжение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Межрегионального территориального управления Федерального агентства по управлению государственным имуществом в Тамбовской и Липецкой областях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№ 677 -р от 06.07.2026 «О проведении аукциона по продаже земельного участка, находящегося в собственности Российской Федерации».</w:t>
            </w:r>
          </w:p>
        </w:tc>
      </w:tr>
      <w:tr>
        <w:trPr>
          <w:trHeight w:val="892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6.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Дата размещения извещения  </w:t>
            </w:r>
            <w:r>
              <w:rPr>
                <w:rFonts w:ascii="PT Astra Serif" w:hAnsi="PT Astra Serif"/>
                <w:b w:val="false"/>
                <w:bCs w:val="false"/>
                <w:sz w:val="24"/>
              </w:rPr>
              <w:t>о проведении  аукциона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  <w:shd w:fill="auto" w:val="clear"/>
              </w:rPr>
              <w:t>06.07.2026</w:t>
            </w:r>
            <w:r>
              <w:rPr>
                <w:spacing w:val="-2"/>
                <w:sz w:val="24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 московскому времени)</w:t>
            </w:r>
          </w:p>
        </w:tc>
      </w:tr>
      <w:tr>
        <w:trPr>
          <w:trHeight w:val="127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7.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Дата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и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время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начала и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окончания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приема заявок на участие в 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аукционе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  <w:u w:val="none"/>
                <w:shd w:fill="auto" w:val="clear"/>
              </w:rPr>
              <w:t>06.07.2026</w:t>
            </w:r>
            <w:r>
              <w:rPr>
                <w:b/>
                <w:color w:val="000000"/>
                <w:spacing w:val="-6"/>
                <w:kern w:val="0"/>
                <w:sz w:val="24"/>
                <w:szCs w:val="20"/>
                <w:u w:val="none"/>
                <w:shd w:fill="auto" w:val="clear"/>
              </w:rPr>
              <w:t xml:space="preserve">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  <w:u w:val="none"/>
                <w:shd w:fill="auto" w:val="clear"/>
              </w:rPr>
              <w:t>в</w:t>
            </w:r>
            <w:r>
              <w:rPr>
                <w:b/>
                <w:color w:val="000000"/>
                <w:spacing w:val="-7"/>
                <w:kern w:val="0"/>
                <w:sz w:val="24"/>
                <w:szCs w:val="20"/>
                <w:u w:val="none"/>
                <w:shd w:fill="auto" w:val="clear"/>
              </w:rPr>
              <w:t xml:space="preserve"> 18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  <w:u w:val="none"/>
                <w:shd w:fill="auto" w:val="clear"/>
              </w:rPr>
              <w:t>:00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московскому</w:t>
            </w:r>
            <w:r>
              <w:rPr>
                <w:color w:val="000000"/>
                <w:spacing w:val="-1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времени) -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20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.07.2026 в 18:00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 (по московскому времени)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83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8.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Дата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рассмотрения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заявок на участие в аукционе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21.07.2026</w:t>
            </w:r>
          </w:p>
        </w:tc>
      </w:tr>
      <w:tr>
        <w:trPr>
          <w:trHeight w:val="830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Дата подписания протокола рассмотрения заявок на участие в аукционе.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b/>
                <w:b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22.07.2026</w:t>
            </w:r>
          </w:p>
        </w:tc>
      </w:tr>
      <w:tr>
        <w:trPr>
          <w:trHeight w:val="6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10.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Дата,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время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проведения аукциона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24.07.2026 в 10:00</w:t>
            </w: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 (по московско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му</w:t>
            </w:r>
            <w:r>
              <w:rPr>
                <w:color w:val="000000"/>
                <w:spacing w:val="-5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времени)</w:t>
            </w:r>
          </w:p>
        </w:tc>
      </w:tr>
      <w:tr>
        <w:trPr>
          <w:trHeight w:val="563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5"/>
                <w:kern w:val="0"/>
                <w:sz w:val="24"/>
                <w:szCs w:val="20"/>
              </w:rPr>
              <w:t>11.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Предмет аукциона (продажа земельного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участка)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Земельный участок </w:t>
            </w: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с кадастровым номером </w:t>
            </w:r>
            <w:r>
              <w:rPr>
                <w:b/>
                <w:bCs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68:17:0104002:20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местополо</w:t>
            </w: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жение: Тамбовская область, р-н Сампурский, д. Прудовка, ул Тихая, д 52,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 площадью 1503 +/- 4 кв.м.,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категория земель Земли населенных пунктов, вид разрешенного использования –  Для ведения личного подсобного хозяйства.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12.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Вид права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на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земельный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участок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Собственность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(68:17:0104002:20-68/141/2026-10 28.01.2026)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13.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Ограничения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земельного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участка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Отсутствуют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14.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Технические условия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Возможность подключения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(технологического присоединения) к сетям: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Водоснабжения, водоотведения:</w:t>
              <w:tab/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в соответствии с Градостроительным планом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Газоснабжения: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в соответствии с Градостроительным планом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Теплоснабжения: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в соответствии с Градостроительным планом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Связи (проводной) 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в соответствии с Градостроительным планом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 xml:space="preserve">Приложение № 1 к 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настоящему</w:t>
            </w:r>
            <w:r>
              <w:rPr>
                <w:b w:val="false"/>
                <w:bCs w:val="false"/>
                <w:color w:val="000000"/>
                <w:spacing w:val="-6"/>
                <w:kern w:val="0"/>
                <w:sz w:val="24"/>
                <w:szCs w:val="20"/>
                <w:shd w:fill="FFFFFF" w:val="clear"/>
              </w:rPr>
              <w:t xml:space="preserve"> </w:t>
            </w:r>
            <w:r>
              <w:rPr>
                <w:b w:val="false"/>
                <w:bCs w:val="false"/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Извещению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Параметры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разрешенного строительства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Земельный участок расположен в территориальной зоне (Ж1),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зоне застройки индивидуальными жилыми домами.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Осмотр земельного участка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</w:rPr>
              <w:t>Осмотр земельного участка на местности осуществляется потенциальным покупателем самостоятельно до момента подачи заявки на участие в аукционе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17.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0"/>
              </w:rPr>
              <w:t>Начальная цена предмета аукциона (в размере рыночной стоимости)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</w:rPr>
              <w:t>280 000 (двести восемьдесят  тысяч) 00 рублей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18.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8 400 (восемь тысяч четыреста) рублей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(3 % от начальной цены предмета аукциона)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19.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Размер задатка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84 000 (восемьдесят четыре тысячи) рублей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(30 % от начальной цены предмета аукциона)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20.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Форма заявки на участие в аукционе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 xml:space="preserve">Приложение № 2 к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настоящему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FFFFFF" w:val="clear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Извещению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Заявка на участие в электронном аукционе с указанием банковских реквизитов счета для возврата задатка направляется на электронную площадку в форме электронного документа с приложением документов  удостоверяющих личность заявителя (для граждан)*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b/>
                <w:i/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 xml:space="preserve">*копия всех страниц паспорта гражданина Российской </w:t>
            </w:r>
            <w:r>
              <w:rPr>
                <w:b/>
                <w:i/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Федерации</w:t>
            </w:r>
          </w:p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</w:tc>
      </w:tr>
      <w:tr>
        <w:trPr>
          <w:trHeight w:val="55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21.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Порядок внесения задатка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заявителями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</w:t>
            </w:r>
          </w:p>
        </w:tc>
      </w:tr>
      <w:tr>
        <w:trPr>
          <w:trHeight w:val="2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22.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Проект договора 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купли-продажи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земельного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участка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FFFFFF" w:themeColor="background1" w:fill="FFFFFF" w:themeFill="background1"/>
              <w:spacing w:lineRule="auto" w:line="276" w:before="0" w:after="0"/>
              <w:ind w:left="0" w:right="0" w:hanging="0"/>
              <w:jc w:val="both"/>
              <w:rPr>
                <w:rFonts w:ascii="Times New Roman" w:hAnsi="Times New Roman"/>
                <w:highlight w:val="none"/>
                <w:shd w:fill="FFFFFF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  <w:shd w:fill="FFFFFF" w:val="clear"/>
              </w:rPr>
              <w:t xml:space="preserve">Приложение № 3 к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FFFFFF" w:val="clear"/>
              </w:rPr>
              <w:t>настоящему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FFFFFF" w:val="clear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FFFFFF" w:val="clear"/>
              </w:rPr>
              <w:t>Извещению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23.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Адрес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места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приема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заявок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12" w:leader="none"/>
                <w:tab w:val="left" w:pos="2101" w:leader="none"/>
                <w:tab w:val="left" w:pos="4046" w:leader="none"/>
                <w:tab w:val="left" w:pos="5572" w:leader="none"/>
              </w:tabs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Прием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ab/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заявок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ab/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осуществляется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ab/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оператором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ab/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электронной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площадки РТС-тендер по адресу </w:t>
            </w:r>
            <w:hyperlink r:id="rId5" w:tgtFrame="http://www.rts-tender.ru/">
              <w:r>
                <w:rPr>
                  <w:color w:val="0000FF"/>
                  <w:spacing w:val="0"/>
                  <w:kern w:val="0"/>
                  <w:sz w:val="24"/>
                  <w:szCs w:val="20"/>
                  <w:u w:val="single"/>
                </w:rPr>
                <w:t>www.rts-tender.ru</w:t>
              </w:r>
            </w:hyperlink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24.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Порядок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возврата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задатка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</w:rPr>
              <w:t>В соответствии с  Регламентом электронной площадки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25.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Перечень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документов, прилагаемых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претендентом</w:t>
            </w:r>
            <w:r>
              <w:rPr>
                <w:color w:val="000000"/>
                <w:spacing w:val="-1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к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заявке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для</w:t>
            </w:r>
            <w:r>
              <w:rPr>
                <w:color w:val="000000"/>
                <w:spacing w:val="-1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участия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в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аукционе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365" w:leader="none"/>
              </w:tabs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заявка на участие в аукционе по установленной в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 извещении о проведении аукциона форме с указанием банковских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реквизитов счета для возврата задатка;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398" w:leader="none"/>
              </w:tabs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копии документов, удостоверяющих личность заявителя (для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граждан)*;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color w:val="000000"/>
                <w:spacing w:val="0"/>
                <w:kern w:val="0"/>
                <w:sz w:val="24"/>
                <w:szCs w:val="20"/>
              </w:rPr>
              <w:t xml:space="preserve">*копия всех страниц паспорта гражданина Российской </w:t>
            </w:r>
            <w:r>
              <w:rPr>
                <w:b/>
                <w:i/>
                <w:color w:val="000000"/>
                <w:spacing w:val="-2"/>
                <w:kern w:val="0"/>
                <w:sz w:val="24"/>
                <w:szCs w:val="20"/>
              </w:rPr>
              <w:t>Федерации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365" w:leader="none"/>
              </w:tabs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надлежащим</w:t>
            </w:r>
            <w:r>
              <w:rPr>
                <w:color w:val="000000"/>
                <w:spacing w:val="68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образом</w:t>
            </w:r>
            <w:r>
              <w:rPr>
                <w:color w:val="000000"/>
                <w:spacing w:val="6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заверенный</w:t>
            </w:r>
            <w:r>
              <w:rPr>
                <w:color w:val="000000"/>
                <w:spacing w:val="6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перевод</w:t>
            </w:r>
            <w:r>
              <w:rPr>
                <w:color w:val="000000"/>
                <w:spacing w:val="69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на</w:t>
            </w:r>
            <w:r>
              <w:rPr>
                <w:color w:val="000000"/>
                <w:spacing w:val="67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русский</w:t>
            </w:r>
            <w:r>
              <w:rPr>
                <w:color w:val="000000"/>
                <w:spacing w:val="7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>язык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документов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государственной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регистрации</w:t>
            </w:r>
            <w:r>
              <w:rPr>
                <w:color w:val="000000"/>
                <w:spacing w:val="-7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юридического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лица</w:t>
            </w:r>
            <w:r>
              <w:rPr>
                <w:color w:val="000000"/>
                <w:spacing w:val="-6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в соответствии</w:t>
            </w:r>
            <w:r>
              <w:rPr>
                <w:color w:val="000000"/>
                <w:spacing w:val="5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</w:t>
            </w:r>
            <w:r>
              <w:rPr>
                <w:color w:val="000000"/>
                <w:spacing w:val="5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законодательством</w:t>
            </w:r>
            <w:r>
              <w:rPr>
                <w:color w:val="000000"/>
                <w:spacing w:val="5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иностранного</w:t>
            </w:r>
            <w:r>
              <w:rPr>
                <w:color w:val="000000"/>
                <w:spacing w:val="5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государства</w:t>
            </w:r>
            <w:r>
              <w:rPr>
                <w:color w:val="000000"/>
                <w:spacing w:val="5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10"/>
                <w:kern w:val="0"/>
                <w:sz w:val="24"/>
                <w:szCs w:val="20"/>
              </w:rPr>
              <w:t xml:space="preserve">в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случае, если заявителем является иностранное юридическое</w:t>
            </w:r>
            <w:r>
              <w:rPr>
                <w:color w:val="000000"/>
                <w:spacing w:val="4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лицо;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4)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документы,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подтверждающие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внесение</w:t>
            </w:r>
            <w:r>
              <w:rPr>
                <w:color w:val="000000"/>
                <w:spacing w:val="-3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задатка**.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i/>
                <w:i/>
                <w:sz w:val="24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 xml:space="preserve">**информация о внесении заявителем задатка формируется оператором электронной площадки и направляется организатору аукциона (таким образом прикладывать квитанцию или платежное поручение отдельным файлом не </w:t>
            </w:r>
            <w:r>
              <w:rPr>
                <w:i/>
                <w:color w:val="000000"/>
                <w:spacing w:val="-2"/>
                <w:kern w:val="0"/>
                <w:sz w:val="24"/>
                <w:szCs w:val="20"/>
              </w:rPr>
              <w:t>требуется)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</w:rPr>
              <w:t>Один заявитель вправе подать только одну заявку на участие в аукционе.</w:t>
            </w:r>
          </w:p>
        </w:tc>
      </w:tr>
      <w:tr>
        <w:trPr>
          <w:trHeight w:val="4972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26.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Основания</w:t>
            </w:r>
            <w:r>
              <w:rPr>
                <w:color w:val="000000"/>
                <w:spacing w:val="-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-5"/>
                <w:kern w:val="0"/>
                <w:sz w:val="24"/>
                <w:szCs w:val="20"/>
              </w:rPr>
              <w:t>для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отказа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в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допуске</w:t>
            </w:r>
            <w:r>
              <w:rPr>
                <w:color w:val="000000"/>
                <w:spacing w:val="-14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к </w:t>
            </w:r>
            <w:r>
              <w:rPr>
                <w:color w:val="000000"/>
                <w:spacing w:val="-2"/>
                <w:kern w:val="0"/>
                <w:sz w:val="24"/>
                <w:szCs w:val="20"/>
              </w:rPr>
              <w:t>аукциону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Заявитель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не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допускается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к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участию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аукционе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следующих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случаях: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65" w:leader="none"/>
              </w:tabs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непредставление необходимых для участия в аукционе документов или представление недостоверных сведений;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65" w:leader="none"/>
              </w:tabs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непоступление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задатка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на</w:t>
            </w:r>
            <w:r>
              <w:rPr>
                <w:color w:val="000000"/>
                <w:spacing w:val="-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дату</w:t>
            </w:r>
            <w:r>
              <w:rPr>
                <w:color w:val="000000"/>
                <w:spacing w:val="-1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рассмотрения</w:t>
            </w:r>
            <w:r>
              <w:rPr>
                <w:color w:val="000000"/>
                <w:spacing w:val="-5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заявок</w:t>
            </w:r>
            <w:r>
              <w:rPr>
                <w:color w:val="000000"/>
                <w:spacing w:val="-5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на</w:t>
            </w:r>
            <w:r>
              <w:rPr>
                <w:color w:val="000000"/>
                <w:spacing w:val="-4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участие в аукционе;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68" w:leader="none"/>
              </w:tabs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65" w:leader="none"/>
              </w:tabs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наличие сведений о заявителе, об учредителях (участниках), о членах коллегиальных исполнительных органов заявителя,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27.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</w:rPr>
              <w:t>Признание аукциона несостоявшимся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2"/>
                <w:kern w:val="0"/>
                <w:sz w:val="24"/>
                <w:szCs w:val="20"/>
              </w:rPr>
              <w:t>рассмотрения заявок на участие в аукционе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 xml:space="preserve"> обязан направить заявителю два экземпляра подписанного проекта договора купли-продажи  земельного участка. При этом договор купли-продажи земельного участка заключается по начальной цене предмета аукциона.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28.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Порядок проведения аукциона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Процедура аукциона проводится в день и время, указанные в Извещении о проведении аукциона. Время проведения аукциона соответствует московскому времени.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Аукцион проводится путем повышения начальной цены на «шаг аукциона» в соответствии с требованиями, установленными законодательством, регулирующим земельные отношения, и Извещением о проведении аукциона.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Время ожидания предложения участника электронного аукциона о</w:t>
            </w:r>
            <w:r>
              <w:rPr>
                <w:color w:val="000000"/>
                <w:spacing w:val="-3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цене</w:t>
            </w:r>
            <w:r>
              <w:rPr>
                <w:color w:val="000000"/>
                <w:spacing w:val="-4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предмета</w:t>
            </w:r>
            <w:r>
              <w:rPr>
                <w:color w:val="000000"/>
                <w:spacing w:val="-4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аукциона</w:t>
            </w:r>
            <w:r>
              <w:rPr>
                <w:color w:val="000000"/>
                <w:spacing w:val="-4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составляет</w:t>
            </w:r>
            <w:r>
              <w:rPr>
                <w:color w:val="000000"/>
                <w:spacing w:val="-3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10</w:t>
            </w:r>
            <w:r>
              <w:rPr>
                <w:color w:val="000000"/>
                <w:spacing w:val="-3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минут.</w:t>
            </w:r>
            <w:r>
              <w:rPr>
                <w:color w:val="000000"/>
                <w:spacing w:val="-1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При</w:t>
            </w:r>
            <w:r>
              <w:rPr>
                <w:color w:val="000000"/>
                <w:spacing w:val="-3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поступлении предложения участника электронного аукциона о повышении цены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предмета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аукциона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время,</w:t>
            </w:r>
            <w:r>
              <w:rPr>
                <w:color w:val="000000"/>
                <w:spacing w:val="41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оставшееся</w:t>
            </w:r>
            <w:r>
              <w:rPr>
                <w:color w:val="000000"/>
                <w:spacing w:val="40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до</w:t>
            </w:r>
            <w:r>
              <w:rPr>
                <w:color w:val="000000"/>
                <w:spacing w:val="41"/>
                <w:kern w:val="0"/>
                <w:sz w:val="24"/>
                <w:szCs w:val="20"/>
                <w:shd w:fill="auto" w:val="clear"/>
              </w:rPr>
              <w:t xml:space="preserve"> 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истечения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указанного</w:t>
            </w:r>
            <w:r>
              <w:rPr>
                <w:color w:val="000000"/>
                <w:spacing w:val="76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срока,</w:t>
            </w:r>
            <w:r>
              <w:rPr>
                <w:color w:val="000000"/>
                <w:spacing w:val="79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обновляется</w:t>
            </w:r>
            <w:r>
              <w:rPr>
                <w:color w:val="000000"/>
                <w:spacing w:val="79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до</w:t>
            </w:r>
            <w:r>
              <w:rPr>
                <w:color w:val="000000"/>
                <w:spacing w:val="79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10</w:t>
            </w:r>
            <w:r>
              <w:rPr>
                <w:color w:val="000000"/>
                <w:spacing w:val="51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минут.</w:t>
            </w:r>
            <w:r>
              <w:rPr>
                <w:color w:val="000000"/>
                <w:spacing w:val="79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Если</w:t>
            </w:r>
            <w:r>
              <w:rPr>
                <w:color w:val="000000"/>
                <w:spacing w:val="50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в</w:t>
            </w:r>
            <w:r>
              <w:rPr>
                <w:color w:val="000000"/>
                <w:spacing w:val="78"/>
                <w:kern w:val="0"/>
                <w:sz w:val="24"/>
                <w:szCs w:val="20"/>
                <w:shd w:fill="auto" w:val="clear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 xml:space="preserve">течение </w:t>
            </w: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 xml:space="preserve">указанного времени ни одного предложения о более высокой цене предмета аукциона не поступило, электронный аукцион </w:t>
            </w:r>
            <w:r>
              <w:rPr>
                <w:color w:val="000000"/>
                <w:spacing w:val="-2"/>
                <w:kern w:val="0"/>
                <w:sz w:val="24"/>
                <w:szCs w:val="20"/>
                <w:shd w:fill="auto" w:val="clear"/>
              </w:rPr>
              <w:t>завершается.</w:t>
            </w:r>
          </w:p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Ход проведения аукциона фиксируется оператором электронной площадки.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Результаты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      </w:r>
          </w:p>
        </w:tc>
      </w:tr>
      <w:tr>
        <w:trPr/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ind w:left="113" w:right="0" w:hanging="0"/>
              <w:jc w:val="left"/>
              <w:rPr>
                <w:sz w:val="24"/>
              </w:rPr>
            </w:pPr>
            <w:r>
              <w:rPr>
                <w:color w:val="000000"/>
                <w:spacing w:val="-2"/>
                <w:kern w:val="0"/>
                <w:sz w:val="24"/>
                <w:szCs w:val="20"/>
              </w:rPr>
              <w:t>Порядок заключения договора</w:t>
            </w:r>
          </w:p>
        </w:tc>
        <w:tc>
          <w:tcPr>
            <w:tcW w:w="7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spacing w:lineRule="atLeast" w:line="285" w:before="165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kern w:val="0"/>
              </w:rPr>
              <w:t>Победителем аукциона признается участник аукциона, предложивший наибольшую цену за земельный участок.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-2"/>
                <w:kern w:val="0"/>
                <w:sz w:val="24"/>
                <w:szCs w:val="20"/>
              </w:rPr>
              <w:t>По результатам проведения электронного аукциона заключается договор купли-продажи земельного участка, находящегося в федеральной собственности.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kern w:val="0"/>
              </w:rPr>
              <w:t xml:space="preserve">Уполномоченный орган обязан в </w:t>
            </w:r>
            <w:r>
              <w:rPr>
                <w:b w:val="false"/>
                <w:kern w:val="0"/>
              </w:rPr>
              <w:t>пятидневный срок со дня составления протокола о результатах аукциона</w:t>
            </w:r>
            <w:r>
              <w:rPr>
                <w:kern w:val="0"/>
              </w:rPr>
              <w:t>, направить победителю электронного аукциона или иным лицам, с которыми заключается договор купли-продажи земельного участка, находящегося в федеральной собственности, подписанный проект договора купли-продажи земельного участка, находящегося в федеральной собственности.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kern w:val="0"/>
              </w:rPr>
              <w:t>По результатам проведения электронного аукциона договор купли-продажи земельного участка, находящегося в федеральной собственности, 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kern w:val="0"/>
              </w:rPr>
      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      </w:r>
          </w:p>
          <w:p>
            <w:pPr>
              <w:pStyle w:val="Style15"/>
              <w:widowControl w:val="false"/>
              <w:spacing w:lineRule="auto" w:line="276" w:before="0" w:after="0"/>
              <w:ind w:left="113" w:right="0" w:hanging="0"/>
              <w:jc w:val="both"/>
              <w:rPr>
                <w:sz w:val="24"/>
              </w:rPr>
            </w:pPr>
            <w:r>
              <w:rPr>
                <w:b w:val="false"/>
                <w:kern w:val="0"/>
              </w:rPr>
              <w:t>Не допускается заключение договора купли-продажи ранее чем через десять дней со дня размещения информации о результатах аукциона на сайте организатора аукциона.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700" w:leader="none"/>
        </w:tabs>
        <w:ind w:left="0" w:righ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1. Градостроительный план земельного участка.</w:t>
      </w:r>
    </w:p>
    <w:p>
      <w:pPr>
        <w:pStyle w:val="Normal"/>
        <w:widowControl w:val="false"/>
        <w:tabs>
          <w:tab w:val="clear" w:pos="708"/>
          <w:tab w:val="left" w:pos="5700" w:leader="none"/>
        </w:tabs>
        <w:ind w:left="0" w:righ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№ 2. </w:t>
      </w:r>
      <w:r>
        <w:rPr>
          <w:rFonts w:ascii="PT Astra Serif" w:hAnsi="PT Astra Serif"/>
          <w:color w:val="000000"/>
          <w:spacing w:val="0"/>
          <w:kern w:val="0"/>
          <w:sz w:val="24"/>
          <w:szCs w:val="20"/>
        </w:rPr>
        <w:t>Форма заявки на участие в аукционе.</w:t>
      </w:r>
    </w:p>
    <w:p>
      <w:pPr>
        <w:pStyle w:val="Normal"/>
        <w:widowControl w:val="false"/>
        <w:tabs>
          <w:tab w:val="clear" w:pos="708"/>
          <w:tab w:val="left" w:pos="5700" w:leader="none"/>
        </w:tabs>
        <w:ind w:left="0" w:righ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Приложение № 3. </w:t>
      </w:r>
      <w:r>
        <w:rPr>
          <w:rFonts w:ascii="PT Astra Serif" w:hAnsi="PT Astra Serif"/>
          <w:color w:val="000000"/>
          <w:spacing w:val="0"/>
          <w:kern w:val="0"/>
          <w:sz w:val="24"/>
          <w:szCs w:val="20"/>
        </w:rPr>
        <w:t xml:space="preserve">Проект договора </w:t>
      </w:r>
      <w:r>
        <w:rPr>
          <w:rFonts w:ascii="PT Astra Serif" w:hAnsi="PT Astra Serif"/>
          <w:color w:val="000000"/>
          <w:spacing w:val="-15"/>
          <w:kern w:val="0"/>
          <w:sz w:val="24"/>
          <w:szCs w:val="20"/>
        </w:rPr>
        <w:t xml:space="preserve">купли-продажи </w:t>
      </w:r>
      <w:r>
        <w:rPr>
          <w:rFonts w:ascii="PT Astra Serif" w:hAnsi="PT Astra Serif"/>
          <w:color w:val="000000"/>
          <w:spacing w:val="0"/>
          <w:kern w:val="0"/>
          <w:sz w:val="24"/>
          <w:szCs w:val="20"/>
        </w:rPr>
        <w:t xml:space="preserve">земельного </w:t>
      </w:r>
      <w:r>
        <w:rPr>
          <w:rFonts w:ascii="PT Astra Serif" w:hAnsi="PT Astra Serif"/>
          <w:color w:val="000000"/>
          <w:spacing w:val="-2"/>
          <w:kern w:val="0"/>
          <w:sz w:val="24"/>
          <w:szCs w:val="20"/>
        </w:rPr>
        <w:t>участка.</w:t>
      </w:r>
    </w:p>
    <w:p>
      <w:pPr>
        <w:pStyle w:val="Normal"/>
        <w:widowControl w:val="false"/>
        <w:tabs>
          <w:tab w:val="clear" w:pos="708"/>
          <w:tab w:val="left" w:pos="5700" w:leader="none"/>
        </w:tabs>
        <w:ind w:left="0" w:righ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color w:val="000000"/>
          <w:spacing w:val="-2"/>
          <w:kern w:val="0"/>
          <w:sz w:val="24"/>
          <w:szCs w:val="20"/>
        </w:rPr>
        <w:t xml:space="preserve">Приложение № 4. Выписка из ЕГРН на земельный участок </w:t>
      </w:r>
      <w:r>
        <w:rPr>
          <w:rFonts w:ascii="PT Astra Serif" w:hAnsi="PT Astra Serif"/>
          <w:b w:val="false"/>
          <w:color w:val="000000"/>
          <w:spacing w:val="0"/>
          <w:kern w:val="0"/>
          <w:sz w:val="24"/>
          <w:szCs w:val="20"/>
          <w:shd w:fill="FFFFFF" w:val="clear"/>
        </w:rPr>
        <w:t xml:space="preserve">с К№ </w:t>
      </w:r>
      <w:r>
        <w:rPr>
          <w:rFonts w:ascii="PT Astra Serif" w:hAnsi="PT Astra Serif"/>
          <w:b w:val="false"/>
          <w:bCs w:val="false"/>
          <w:color w:val="000000"/>
          <w:spacing w:val="0"/>
          <w:kern w:val="0"/>
          <w:sz w:val="24"/>
          <w:szCs w:val="20"/>
          <w:shd w:fill="FFFFFF" w:val="clear"/>
        </w:rPr>
        <w:t>68:17:0104002:20</w:t>
      </w:r>
      <w:r>
        <w:rPr>
          <w:rFonts w:ascii="PT Astra Serif" w:hAnsi="PT Astra Serif"/>
          <w:b w:val="false"/>
          <w:bCs w:val="false"/>
          <w:color w:val="000000"/>
          <w:spacing w:val="-2"/>
          <w:kern w:val="0"/>
          <w:sz w:val="24"/>
          <w:szCs w:val="20"/>
        </w:rPr>
        <w:t xml:space="preserve"> </w:t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992" w:right="851" w:gutter="0" w:header="0" w:top="567" w:footer="227" w:bottom="5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XO Thame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Palatino Linotyp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widowControl w:val="false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widowControl w:val="false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27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/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60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 w:val="false"/>
      <w:suppressAutoHyphens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uiPriority w:val="9"/>
    <w:qFormat/>
    <w:pPr>
      <w:widowControl w:val="false"/>
      <w:numPr>
        <w:ilvl w:val="0"/>
        <w:numId w:val="3"/>
      </w:numPr>
      <w:spacing w:beforeAutospacing="1" w:afterAutospacing="1"/>
      <w:ind w:left="0" w:right="0" w:hanging="0"/>
      <w:jc w:val="center"/>
      <w:outlineLvl w:val="0"/>
    </w:pPr>
    <w:rPr>
      <w:b/>
      <w:sz w:val="48"/>
    </w:rPr>
  </w:style>
  <w:style w:type="paragraph" w:styleId="2">
    <w:name w:val="Heading 2"/>
    <w:basedOn w:val="Normal"/>
    <w:uiPriority w:val="9"/>
    <w:qFormat/>
    <w:pPr>
      <w:widowControl w:val="false"/>
      <w:numPr>
        <w:ilvl w:val="1"/>
        <w:numId w:val="3"/>
      </w:numPr>
      <w:spacing w:beforeAutospacing="1" w:afterAutospacing="1"/>
      <w:ind w:left="0" w:right="0" w:hanging="0"/>
      <w:outlineLvl w:val="1"/>
    </w:pPr>
    <w:rPr>
      <w:b/>
      <w:sz w:val="36"/>
    </w:rPr>
  </w:style>
  <w:style w:type="paragraph" w:styleId="3">
    <w:name w:val="Heading 3"/>
    <w:basedOn w:val="Normal"/>
    <w:uiPriority w:val="9"/>
    <w:qFormat/>
    <w:pPr>
      <w:widowControl w:val="false"/>
      <w:numPr>
        <w:ilvl w:val="2"/>
        <w:numId w:val="3"/>
      </w:numPr>
      <w:spacing w:beforeAutospacing="1" w:afterAutospacing="1"/>
      <w:ind w:left="0" w:right="0" w:hanging="0"/>
      <w:outlineLvl w:val="2"/>
    </w:pPr>
    <w:rPr>
      <w:b/>
      <w:sz w:val="27"/>
    </w:rPr>
  </w:style>
  <w:style w:type="paragraph" w:styleId="4">
    <w:name w:val="Heading 4"/>
    <w:basedOn w:val="Normal"/>
    <w:next w:val="Normal"/>
    <w:uiPriority w:val="9"/>
    <w:qFormat/>
    <w:pPr>
      <w:keepNext w:val="true"/>
      <w:widowControl w:val="false"/>
      <w:outlineLvl w:val="3"/>
    </w:pPr>
    <w:rPr>
      <w:b/>
      <w:sz w:val="28"/>
    </w:rPr>
  </w:style>
  <w:style w:type="paragraph" w:styleId="5">
    <w:name w:val="Heading 5"/>
    <w:basedOn w:val="Normal"/>
    <w:next w:val="Normal"/>
    <w:uiPriority w:val="9"/>
    <w:qFormat/>
    <w:pPr>
      <w:widowControl w:val="false"/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Normal"/>
    <w:next w:val="Normal"/>
    <w:uiPriority w:val="9"/>
    <w:qFormat/>
    <w:pPr>
      <w:keepNext w:val="true"/>
      <w:widowControl w:val="false"/>
      <w:jc w:val="center"/>
      <w:outlineLvl w:val="5"/>
    </w:pPr>
    <w:rPr>
      <w:color w:val="FFFFFF"/>
      <w:sz w:val="28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uiPriority w:val="9"/>
    <w:qFormat/>
    <w:pPr>
      <w:widowControl w:val="false"/>
      <w:spacing w:before="240" w:after="60"/>
      <w:outlineLvl w:val="7"/>
    </w:pPr>
    <w:rPr>
      <w:i/>
      <w:sz w:val="24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val="4F81BD" w:themeColor="accent1"/>
      <w:sz w:val="18"/>
      <w:szCs w:val="18"/>
    </w:rPr>
  </w:style>
  <w:style w:type="character" w:styleId="FootnoteTextChar">
    <w:name w:val="Footnote Text Char"/>
    <w:link w:val="Footnote1"/>
    <w:uiPriority w:val="99"/>
    <w:qFormat/>
    <w:rPr>
      <w:sz w:val="18"/>
    </w:rPr>
  </w:style>
  <w:style w:type="character" w:styleId="Style5">
    <w:name w:val="Символ сноски"/>
    <w:basedOn w:val="DefaultParagraphFont"/>
    <w:qFormat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EndnoteTextChar">
    <w:name w:val="Endnote Text Char"/>
    <w:link w:val="Endnote1"/>
    <w:uiPriority w:val="99"/>
    <w:qFormat/>
    <w:rPr>
      <w:sz w:val="20"/>
    </w:rPr>
  </w:style>
  <w:style w:type="character" w:styleId="Style7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Привязка концевой сноски"/>
    <w:rPr>
      <w:vertAlign w:val="superscript"/>
    </w:rPr>
  </w:style>
  <w:style w:type="character" w:styleId="7pt0pt">
    <w:name w:val="Основной текст + 7 pt;Полужирный;Интервал 0 pt"/>
    <w:link w:val="7pt0pt1"/>
    <w:qFormat/>
    <w:rPr>
      <w:rFonts w:ascii="Times New Roman" w:hAnsi="Times New Roman"/>
      <w:b/>
      <w:color w:val="000000"/>
      <w:spacing w:val="3"/>
      <w:sz w:val="14"/>
      <w:u w:val="none"/>
    </w:rPr>
  </w:style>
  <w:style w:type="character" w:styleId="Textbodyindent">
    <w:name w:val="Text body indent"/>
    <w:qFormat/>
    <w:rPr>
      <w:i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>
      <w:rFonts w:ascii="Calibri" w:hAnsi="Calibri"/>
      <w:sz w:val="22"/>
    </w:rPr>
  </w:style>
  <w:style w:type="character" w:styleId="11">
    <w:name w:val="Текст примечания Знак1"/>
    <w:basedOn w:val="DefaultParagraphFont"/>
    <w:link w:val="11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Normal">
    <w:name w:val="ConsNormal"/>
    <w:link w:val="ConsNormal1"/>
    <w:qFormat/>
    <w:rPr>
      <w:rFonts w:ascii="Arial" w:hAnsi="Arial"/>
    </w:rPr>
  </w:style>
  <w:style w:type="character" w:styleId="9pt0pt">
    <w:name w:val="Основной текст + 9 pt;Интервал 0 pt"/>
    <w:link w:val="9pt0pt1"/>
    <w:qFormat/>
    <w:rPr>
      <w:rFonts w:ascii="Times New Roman" w:hAnsi="Times New Roman"/>
      <w:color w:val="000000"/>
      <w:spacing w:val="0"/>
      <w:sz w:val="18"/>
      <w:u w:val="none"/>
    </w:rPr>
  </w:style>
  <w:style w:type="character" w:styleId="Header1">
    <w:name w:val="Header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b/>
      <w:sz w:val="27"/>
    </w:rPr>
  </w:style>
  <w:style w:type="character" w:styleId="Marginalia">
    <w:name w:val="Marginalia"/>
    <w:qFormat/>
    <w:rPr>
      <w:rFonts w:ascii="Calibri" w:hAnsi="Calibri"/>
    </w:rPr>
  </w:style>
  <w:style w:type="character" w:styleId="12">
    <w:name w:val="Текст сноски Знак1"/>
    <w:link w:val="112"/>
    <w:qFormat/>
    <w:rPr/>
  </w:style>
  <w:style w:type="character" w:styleId="13">
    <w:name w:val="Основной текст1"/>
    <w:link w:val="113"/>
    <w:qFormat/>
    <w:rPr/>
  </w:style>
  <w:style w:type="character" w:styleId="31">
    <w:name w:val="Основной текст (3)"/>
    <w:link w:val="312"/>
    <w:qFormat/>
    <w:rPr>
      <w:rFonts w:ascii="Times New Roman" w:hAnsi="Times New Roman"/>
      <w:b/>
      <w:color w:val="000000"/>
      <w:spacing w:val="0"/>
      <w:sz w:val="23"/>
      <w:u w:val="none"/>
    </w:rPr>
  </w:style>
  <w:style w:type="character" w:styleId="21">
    <w:name w:val="Основной текст (2) + Не полужирный"/>
    <w:link w:val="212"/>
    <w:qFormat/>
    <w:rPr>
      <w:rFonts w:ascii="Times New Roman" w:hAnsi="Times New Roman"/>
      <w:b/>
      <w:color w:val="000000"/>
      <w:spacing w:val="0"/>
      <w:sz w:val="24"/>
    </w:rPr>
  </w:style>
  <w:style w:type="character" w:styleId="Textbody">
    <w:name w:val="Text body"/>
    <w:qFormat/>
    <w:rPr>
      <w:sz w:val="24"/>
    </w:rPr>
  </w:style>
  <w:style w:type="character" w:styleId="BodyTextIndent3">
    <w:name w:val="Body Text Indent 3"/>
    <w:link w:val="BodyTextIndent31"/>
    <w:qFormat/>
    <w:rPr>
      <w:sz w:val="16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211">
    <w:name w:val="Основной текст с отступом 2 Знак1"/>
    <w:basedOn w:val="DefaultParagraphFont"/>
    <w:link w:val="2111"/>
    <w:qFormat/>
    <w:rPr/>
  </w:style>
  <w:style w:type="character" w:styleId="14">
    <w:name w:val="Основной текст Знак1"/>
    <w:link w:val="114"/>
    <w:qFormat/>
    <w:rPr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65pt">
    <w:name w:val="Основной текст + 6;5 pt;Курсив"/>
    <w:link w:val="65pt1"/>
    <w:qFormat/>
    <w:rPr>
      <w:rFonts w:ascii="Times New Roman" w:hAnsi="Times New Roman"/>
      <w:i/>
      <w:color w:val="000000"/>
      <w:spacing w:val="0"/>
      <w:sz w:val="13"/>
      <w:u w:val="none"/>
    </w:rPr>
  </w:style>
  <w:style w:type="character" w:styleId="ConsPlusTitle">
    <w:name w:val="ConsPlusTitle"/>
    <w:link w:val="ConsPlusTitle1"/>
    <w:qFormat/>
    <w:rPr>
      <w:rFonts w:ascii="Arial" w:hAnsi="Arial"/>
      <w:b/>
    </w:rPr>
  </w:style>
  <w:style w:type="character" w:styleId="HTMLPreformatted">
    <w:name w:val="HTML Preformatted"/>
    <w:link w:val="HTMLPreformatted1"/>
    <w:qFormat/>
    <w:rPr>
      <w:rFonts w:ascii="Courier New" w:hAnsi="Courier New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Bserpurlitem1">
    <w:name w:val="b-serp-url__item1"/>
    <w:link w:val="Bserpurlitem11"/>
    <w:qFormat/>
    <w:rPr/>
  </w:style>
  <w:style w:type="character" w:styleId="7pt">
    <w:name w:val="Основной текст + 7 pt"/>
    <w:link w:val="7pt1"/>
    <w:qFormat/>
    <w:rPr>
      <w:rFonts w:ascii="Times New Roman" w:hAnsi="Times New Roman"/>
      <w:color w:val="000000"/>
      <w:spacing w:val="0"/>
      <w:sz w:val="14"/>
      <w:u w:val="none"/>
    </w:rPr>
  </w:style>
  <w:style w:type="character" w:styleId="List1">
    <w:name w:val="List 1"/>
    <w:qFormat/>
    <w:rPr>
      <w:sz w:val="24"/>
    </w:rPr>
  </w:style>
  <w:style w:type="character" w:styleId="15">
    <w:name w:val="Текст выноски Знак1"/>
    <w:link w:val="115"/>
    <w:qFormat/>
    <w:rPr>
      <w:rFonts w:ascii="Tahoma" w:hAnsi="Tahoma"/>
      <w:sz w:val="16"/>
    </w:rPr>
  </w:style>
  <w:style w:type="character" w:styleId="Heading51">
    <w:name w:val="Heading 51"/>
    <w:qFormat/>
    <w:rPr>
      <w:rFonts w:ascii="Calibri" w:hAnsi="Calibri"/>
      <w:b/>
      <w:i/>
      <w:sz w:val="26"/>
    </w:rPr>
  </w:style>
  <w:style w:type="character" w:styleId="22">
    <w:name w:val="Основной текст (2)"/>
    <w:link w:val="213"/>
    <w:qFormat/>
    <w:rPr>
      <w:b/>
    </w:rPr>
  </w:style>
  <w:style w:type="character" w:styleId="BodyText3">
    <w:name w:val="Body Text 3"/>
    <w:link w:val="BodyText31"/>
    <w:qFormat/>
    <w:rPr>
      <w:rFonts w:ascii="Arial" w:hAnsi="Arial"/>
      <w:b/>
      <w:sz w:val="18"/>
    </w:rPr>
  </w:style>
  <w:style w:type="character" w:styleId="Heading11">
    <w:name w:val="Heading 11"/>
    <w:qFormat/>
    <w:rPr>
      <w:b/>
      <w:sz w:val="48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/>
  </w:style>
  <w:style w:type="character" w:styleId="Heading81">
    <w:name w:val="Heading 81"/>
    <w:qFormat/>
    <w:rPr>
      <w:i/>
      <w:sz w:val="24"/>
    </w:rPr>
  </w:style>
  <w:style w:type="character" w:styleId="BodyTextIndent2">
    <w:name w:val="Body Text Indent 2"/>
    <w:link w:val="BodyTextIndent21"/>
    <w:qFormat/>
    <w:rPr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BlockText">
    <w:name w:val="Block Text"/>
    <w:link w:val="BlockText1"/>
    <w:qFormat/>
    <w:rPr>
      <w:sz w:val="14"/>
    </w:rPr>
  </w:style>
  <w:style w:type="character" w:styleId="DefaultParagraphFont">
    <w:name w:val="Default Paragraph Font"/>
    <w:link w:val="DefaultParagraphFont1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0">
    <w:name w:val="Выделение"/>
    <w:qFormat/>
    <w:rPr>
      <w:i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311">
    <w:name w:val="Основной текст с отступом 3 Знак1"/>
    <w:link w:val="3111"/>
    <w:qFormat/>
    <w:rPr>
      <w:sz w:val="16"/>
    </w:rPr>
  </w:style>
  <w:style w:type="character" w:styleId="Style11">
    <w:name w:val="Знак"/>
    <w:link w:val="17"/>
    <w:qFormat/>
    <w:rPr>
      <w:rFonts w:ascii="Tahoma" w:hAnsi="Tahoma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HTML1">
    <w:name w:val="Стандартный HTML Знак1"/>
    <w:link w:val="HTML11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2">
    <w:name w:val="Текст Знак"/>
    <w:link w:val="18"/>
    <w:qFormat/>
    <w:rPr>
      <w:rFonts w:ascii="Courier New" w:hAnsi="Courier New"/>
    </w:rPr>
  </w:style>
  <w:style w:type="character" w:styleId="BodyText2">
    <w:name w:val="Body Text 2"/>
    <w:link w:val="BodyText21"/>
    <w:qFormat/>
    <w:rPr>
      <w:sz w:val="24"/>
    </w:rPr>
  </w:style>
  <w:style w:type="character" w:styleId="Style13">
    <w:name w:val="Посещённая гиперссылка"/>
    <w:rPr>
      <w:color w:val="0000FF"/>
      <w:u w:val="single"/>
    </w:rPr>
  </w:style>
  <w:style w:type="character" w:styleId="23">
    <w:name w:val="Основной текст2"/>
    <w:link w:val="214"/>
    <w:qFormat/>
    <w:rPr>
      <w:color w:val="000000"/>
      <w:spacing w:val="5"/>
      <w:sz w:val="21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28"/>
    </w:rPr>
  </w:style>
  <w:style w:type="character" w:styleId="PalatinoLinotype0pt">
    <w:name w:val="Основной текст + Palatino Linotype;Интервал 0 pt"/>
    <w:link w:val="PalatinoLinotype0pt1"/>
    <w:qFormat/>
    <w:rPr>
      <w:rFonts w:ascii="Palatino Linotype" w:hAnsi="Palatino Linotype"/>
      <w:color w:val="000000"/>
      <w:spacing w:val="-10"/>
      <w:sz w:val="11"/>
      <w:u w:val="none"/>
    </w:rPr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Pagenumber">
    <w:name w:val="page number"/>
    <w:qFormat/>
    <w:rPr/>
  </w:style>
  <w:style w:type="character" w:styleId="Heading21">
    <w:name w:val="Heading 21"/>
    <w:qFormat/>
    <w:rPr>
      <w:b/>
      <w:sz w:val="36"/>
    </w:rPr>
  </w:style>
  <w:style w:type="character" w:styleId="Default">
    <w:name w:val="Default"/>
    <w:link w:val="Default1"/>
    <w:qFormat/>
    <w:rPr>
      <w:color w:val="000000"/>
      <w:sz w:val="24"/>
    </w:rPr>
  </w:style>
  <w:style w:type="character" w:styleId="PlainText">
    <w:name w:val="Plain Text"/>
    <w:link w:val="PlainText1"/>
    <w:qFormat/>
    <w:rPr>
      <w:rFonts w:ascii="Courier New" w:hAnsi="Courier New"/>
    </w:rPr>
  </w:style>
  <w:style w:type="character" w:styleId="Heading61">
    <w:name w:val="Heading 61"/>
    <w:qFormat/>
    <w:rPr>
      <w:color w:val="FFFFFF"/>
      <w:sz w:val="2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widowControl w:val="false"/>
      <w:jc w:val="both"/>
    </w:pPr>
    <w:rPr>
      <w:sz w:val="24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14"/>
    <w:qFormat/>
    <w:pPr/>
    <w:rPr/>
  </w:style>
  <w:style w:type="paragraph" w:styleId="Style21">
    <w:name w:val="Index Heading"/>
    <w:basedOn w:val="Style14"/>
    <w:pPr/>
    <w:rPr/>
  </w:style>
  <w:style w:type="paragraph" w:styleId="Style22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Droid Sans Devanagari"/>
      <w:color w:val="000000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7pt0pt1">
    <w:name w:val="Основной текст + 7 pt;Полужирный;Интервал 0 pt1"/>
    <w:link w:val="7pt0p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b/>
      <w:color w:val="000000"/>
      <w:spacing w:val="3"/>
      <w:kern w:val="0"/>
      <w:sz w:val="14"/>
      <w:szCs w:val="20"/>
      <w:highlight w:val="white"/>
      <w:u w:val="none"/>
      <w:lang w:val="ru-RU" w:eastAsia="zh-CN" w:bidi="hi-IN"/>
    </w:rPr>
  </w:style>
  <w:style w:type="paragraph" w:styleId="Style23">
    <w:name w:val="Body Text Indent"/>
    <w:basedOn w:val="Normal"/>
    <w:pPr>
      <w:widowControl w:val="false"/>
      <w:ind w:left="0" w:right="6192" w:hanging="0"/>
      <w:jc w:val="both"/>
    </w:pPr>
    <w:rPr>
      <w:i/>
      <w:sz w:val="28"/>
    </w:rPr>
  </w:style>
  <w:style w:type="paragraph" w:styleId="24">
    <w:name w:val="TOC 2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 w:val="false"/>
      <w:spacing w:lineRule="auto" w:line="276" w:before="0" w:after="200"/>
      <w:ind w:left="720" w:right="0" w:hanging="0"/>
      <w:contextualSpacing/>
    </w:pPr>
    <w:rPr>
      <w:rFonts w:ascii="Calibri" w:hAnsi="Calibri"/>
      <w:sz w:val="22"/>
    </w:rPr>
  </w:style>
  <w:style w:type="paragraph" w:styleId="111">
    <w:name w:val="Текст примечания Знак11"/>
    <w:basedOn w:val="DefaultParagraphFont1"/>
    <w:link w:val="11"/>
    <w:qFormat/>
    <w:pPr/>
    <w:rPr/>
  </w:style>
  <w:style w:type="paragraph" w:styleId="61">
    <w:name w:val="TOC 6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1">
    <w:name w:val="TOC 7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Normal1">
    <w:name w:val="ConsNormal1"/>
    <w:link w:val="ConsNormal"/>
    <w:qFormat/>
    <w:pPr>
      <w:widowControl w:val="false"/>
      <w:suppressAutoHyphens w:val="true"/>
      <w:bidi w:val="0"/>
      <w:spacing w:lineRule="auto" w:line="240" w:before="0" w:after="0"/>
      <w:ind w:left="0" w:right="19772" w:firstLine="720"/>
      <w:jc w:val="left"/>
    </w:pPr>
    <w:rPr>
      <w:rFonts w:ascii="Arial" w:hAnsi="Arial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pt0pt1">
    <w:name w:val="Основной текст + 9 pt;Интервал 0 pt1"/>
    <w:link w:val="9pt0p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18"/>
      <w:szCs w:val="20"/>
      <w:highlight w:val="white"/>
      <w:u w:val="none"/>
      <w:lang w:val="ru-RU" w:eastAsia="zh-CN" w:bidi="hi-IN"/>
    </w:rPr>
  </w:style>
  <w:style w:type="paragraph" w:styleId="Style24">
    <w:name w:val="Колонтитул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5">
    <w:name w:val="Колонтитулы"/>
    <w:basedOn w:val="Normal"/>
    <w:qFormat/>
    <w:pPr/>
    <w:rPr/>
  </w:style>
  <w:style w:type="paragraph" w:styleId="Style26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1">
    <w:name w:val="Endnote1"/>
    <w:link w:val="Endnote"/>
    <w:qFormat/>
    <w:pPr>
      <w:widowControl w:val="false"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Droid Sans Fallback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Annotationtext">
    <w:name w:val="annotation text"/>
    <w:basedOn w:val="Normal"/>
    <w:qFormat/>
    <w:pPr>
      <w:widowControl w:val="false"/>
      <w:spacing w:before="0" w:after="200"/>
    </w:pPr>
    <w:rPr>
      <w:rFonts w:ascii="Calibri" w:hAnsi="Calibri"/>
    </w:rPr>
  </w:style>
  <w:style w:type="paragraph" w:styleId="112">
    <w:name w:val="Текст сноски Знак11"/>
    <w:link w:val="12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Основной текст11"/>
    <w:basedOn w:val="Normal"/>
    <w:link w:val="13"/>
    <w:qFormat/>
    <w:pPr>
      <w:widowControl w:val="false"/>
      <w:spacing w:lineRule="exact" w:line="293" w:before="360" w:after="0"/>
      <w:jc w:val="both"/>
    </w:pPr>
    <w:rPr/>
  </w:style>
  <w:style w:type="paragraph" w:styleId="312">
    <w:name w:val="Основной текст (3)1"/>
    <w:link w:val="3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b/>
      <w:color w:val="000000"/>
      <w:spacing w:val="0"/>
      <w:kern w:val="0"/>
      <w:sz w:val="23"/>
      <w:szCs w:val="20"/>
      <w:u w:val="none"/>
      <w:lang w:val="ru-RU" w:eastAsia="zh-CN" w:bidi="hi-IN"/>
    </w:rPr>
  </w:style>
  <w:style w:type="paragraph" w:styleId="212">
    <w:name w:val="Основной текст (2) + Не полужирный1"/>
    <w:link w:val="2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b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BodyTextIndent31">
    <w:name w:val="Body Text Indent 31"/>
    <w:basedOn w:val="Normal"/>
    <w:link w:val="BodyTextIndent3"/>
    <w:qFormat/>
    <w:pPr>
      <w:widowControl w:val="false"/>
      <w:spacing w:before="0" w:after="120"/>
      <w:ind w:left="283" w:right="0" w:hanging="0"/>
    </w:pPr>
    <w:rPr>
      <w:sz w:val="16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left="0" w:right="0" w:firstLine="720"/>
      <w:jc w:val="left"/>
    </w:pPr>
    <w:rPr>
      <w:rFonts w:ascii="Arial" w:hAnsi="Arial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 Знак11"/>
    <w:basedOn w:val="DefaultParagraphFont1"/>
    <w:link w:val="211"/>
    <w:qFormat/>
    <w:pPr/>
    <w:rPr/>
  </w:style>
  <w:style w:type="paragraph" w:styleId="114">
    <w:name w:val="Основной текст Знак11"/>
    <w:link w:val="14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32">
    <w:name w:val="TOC 3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5pt1">
    <w:name w:val="Основной текст + 6;5 pt;Курсив1"/>
    <w:link w:val="65p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i/>
      <w:color w:val="000000"/>
      <w:spacing w:val="0"/>
      <w:kern w:val="0"/>
      <w:sz w:val="13"/>
      <w:szCs w:val="20"/>
      <w:highlight w:val="white"/>
      <w:u w:val="none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Droid Sans Fallback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HTMLPreformatted1">
    <w:name w:val="HTML Preformatted1"/>
    <w:basedOn w:val="Normal"/>
    <w:link w:val="HTMLPreformatted"/>
    <w:qFormat/>
    <w:pPr>
      <w:widowControl w:val="false"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paragraph" w:styleId="FootnoteSymbol">
    <w:name w:val="Footnote Symbol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Bserpurlitem11">
    <w:name w:val="b-serp-url__item11"/>
    <w:link w:val="Bserpurlitem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7pt1">
    <w:name w:val="Основной текст + 7 pt1"/>
    <w:link w:val="7p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14"/>
      <w:szCs w:val="20"/>
      <w:highlight w:val="white"/>
      <w:u w:val="none"/>
      <w:lang w:val="ru-RU" w:eastAsia="zh-CN" w:bidi="hi-IN"/>
    </w:rPr>
  </w:style>
  <w:style w:type="paragraph" w:styleId="ListBullet">
    <w:name w:val="List Bullet"/>
    <w:basedOn w:val="Normal"/>
    <w:qFormat/>
    <w:pPr>
      <w:widowControl w:val="false"/>
      <w:tabs>
        <w:tab w:val="clear" w:pos="708"/>
        <w:tab w:val="left" w:pos="360" w:leader="none"/>
        <w:tab w:val="left" w:pos="1492" w:leader="none"/>
      </w:tabs>
      <w:ind w:left="360" w:right="0" w:hanging="360"/>
    </w:pPr>
    <w:rPr>
      <w:sz w:val="24"/>
    </w:rPr>
  </w:style>
  <w:style w:type="paragraph" w:styleId="115">
    <w:name w:val="Текст выноски Знак11"/>
    <w:link w:val="15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ahoma" w:hAnsi="Tahoma" w:eastAsia="Droid Sans Fallback" w:cs="Droid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213">
    <w:name w:val="Основной текст (2)1"/>
    <w:basedOn w:val="Normal"/>
    <w:link w:val="22"/>
    <w:qFormat/>
    <w:pPr>
      <w:widowControl w:val="false"/>
      <w:spacing w:lineRule="exact" w:line="293"/>
    </w:pPr>
    <w:rPr>
      <w:b/>
    </w:rPr>
  </w:style>
  <w:style w:type="paragraph" w:styleId="BodyText31">
    <w:name w:val="Body Text 31"/>
    <w:basedOn w:val="Normal"/>
    <w:link w:val="BodyText3"/>
    <w:qFormat/>
    <w:pPr>
      <w:widowControl w:val="false"/>
      <w:jc w:val="center"/>
    </w:pPr>
    <w:rPr>
      <w:rFonts w:ascii="Arial" w:hAnsi="Arial"/>
      <w:b/>
      <w:sz w:val="18"/>
    </w:rPr>
  </w:style>
  <w:style w:type="paragraph" w:styleId="Internetlink">
    <w:name w:val="Hyperlink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basedOn w:val="Normal"/>
    <w:link w:val="Footnote"/>
    <w:qFormat/>
    <w:pPr/>
    <w:rPr/>
  </w:style>
  <w:style w:type="paragraph" w:styleId="BodyTextIndent21">
    <w:name w:val="Body Text Indent 21"/>
    <w:basedOn w:val="Normal"/>
    <w:link w:val="BodyTextIndent2"/>
    <w:qFormat/>
    <w:pPr>
      <w:widowControl w:val="false"/>
      <w:spacing w:lineRule="auto" w:line="480" w:before="0" w:after="120"/>
      <w:ind w:left="283" w:right="0" w:hanging="0"/>
    </w:pPr>
    <w:rPr>
      <w:sz w:val="24"/>
    </w:rPr>
  </w:style>
  <w:style w:type="paragraph" w:styleId="16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Droid Sans Fallback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lockText1">
    <w:name w:val="Block Text1"/>
    <w:basedOn w:val="Normal"/>
    <w:link w:val="BlockText"/>
    <w:qFormat/>
    <w:pPr>
      <w:widowControl w:val="false"/>
      <w:ind w:left="851" w:right="1177" w:hanging="0"/>
      <w:jc w:val="both"/>
    </w:pPr>
    <w:rPr>
      <w:sz w:val="14"/>
    </w:rPr>
  </w:style>
  <w:style w:type="paragraph" w:styleId="DefaultParagraphFont1">
    <w:name w:val="Default Paragraph Font1"/>
    <w:link w:val="DefaultParagraphFon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7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91">
    <w:name w:val="TOC 9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">
    <w:name w:val="Emphasis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81">
    <w:name w:val="TOC 8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11">
    <w:name w:val="Основной текст с отступом 3 Знак11"/>
    <w:link w:val="31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17">
    <w:name w:val="Знак1"/>
    <w:basedOn w:val="Normal"/>
    <w:next w:val="Normal"/>
    <w:link w:val="Style11"/>
    <w:qFormat/>
    <w:pPr>
      <w:widowControl w:val="false"/>
      <w:spacing w:beforeAutospacing="1" w:afterAutospacing="1"/>
    </w:pPr>
    <w:rPr>
      <w:rFonts w:ascii="Tahoma" w:hAnsi="Tahoma"/>
    </w:rPr>
  </w:style>
  <w:style w:type="paragraph" w:styleId="51">
    <w:name w:val="TOC 5"/>
    <w:next w:val="Normal"/>
    <w:uiPriority w:val="39"/>
    <w:pPr>
      <w:widowControl w:val="false"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Droid Sans Fallback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TML11">
    <w:name w:val="Стандартный HTML Знак11"/>
    <w:link w:val="HTML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yle28">
    <w:name w:val="Subtitle"/>
    <w:next w:val="Normal"/>
    <w:uiPriority w:val="1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Droid Sans Fallback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8">
    <w:name w:val="Текст Знак1"/>
    <w:link w:val="Style12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widowControl w:val="false"/>
      <w:spacing w:lineRule="auto" w:line="480" w:before="0" w:after="120"/>
    </w:pPr>
    <w:rPr>
      <w:sz w:val="24"/>
    </w:rPr>
  </w:style>
  <w:style w:type="paragraph" w:styleId="VisitedInternetLink">
    <w:name w:val="FollowedHyperlink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214">
    <w:name w:val="Основной текст21"/>
    <w:basedOn w:val="Normal"/>
    <w:link w:val="23"/>
    <w:qFormat/>
    <w:pPr>
      <w:widowControl w:val="false"/>
      <w:spacing w:lineRule="exact" w:line="254"/>
      <w:ind w:left="380" w:right="0" w:hanging="380"/>
    </w:pPr>
    <w:rPr>
      <w:color w:val="000000"/>
      <w:spacing w:val="5"/>
      <w:sz w:val="21"/>
    </w:rPr>
  </w:style>
  <w:style w:type="paragraph" w:styleId="Style29">
    <w:name w:val="Title"/>
    <w:next w:val="Normal"/>
    <w:uiPriority w:val="10"/>
    <w:qFormat/>
    <w:pPr>
      <w:widowControl w:val="false"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Droid Sans Fallback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PalatinoLinotype0pt1">
    <w:name w:val="Основной текст + Palatino Linotype;Интервал 0 pt1"/>
    <w:link w:val="PalatinoLinotype0p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Palatino Linotype" w:hAnsi="Palatino Linotype" w:eastAsia="Droid Sans Fallback" w:cs="Droid Sans Devanagari"/>
      <w:color w:val="000000"/>
      <w:spacing w:val="-10"/>
      <w:kern w:val="0"/>
      <w:sz w:val="11"/>
      <w:szCs w:val="20"/>
      <w:highlight w:val="white"/>
      <w:u w:val="none"/>
      <w:lang w:val="ru-RU" w:eastAsia="zh-CN" w:bidi="hi-IN"/>
    </w:rPr>
  </w:style>
  <w:style w:type="paragraph" w:styleId="NoSpacing1">
    <w:name w:val="No Spacing1"/>
    <w:link w:val="NoSpacing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Droid Sans Fallback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PageNumber1">
    <w:name w:val="Page Number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Droid Sans Fallback" w:cs="Droid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urier New" w:hAnsi="Courier New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Style32" w:default="1">
    <w:name w:val="Без списка"/>
    <w:uiPriority w:val="99"/>
    <w:semiHidden/>
    <w:unhideWhenUsed/>
    <w:qFormat/>
  </w:style>
  <w:style w:type="table" w:styleId="49">
    <w:name w:val="Table Grid Light"/>
    <w:basedOn w:val="78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8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78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8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5">
    <w:name w:val="Grid Table 5 Dark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">
    <w:name w:val="Grid Table 5 Dark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">
    <w:name w:val="Grid Table 5 Dark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8">
    <w:name w:val="Grid Table 5 Dark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9">
    <w:name w:val="Grid Table 5 Dark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0">
    <w:name w:val="Grid Table 6 Colorful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1">
    <w:name w:val="Grid Table 6 Colorful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">
    <w:name w:val="Grid Table 6 Colorful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">
    <w:name w:val="Grid Table 6 Colorful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4">
    <w:name w:val="Grid Table 6 Colorful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5">
    <w:name w:val="Grid Table 6 Colorful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6">
    <w:name w:val="Grid Table 6 Colorful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7">
    <w:name w:val="Grid Table 7 Colorful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3">
    <w:name w:val="List Table 5 Dark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4">
    <w:name w:val="List Table 5 Dark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5">
    <w:name w:val="List Table 5 Dark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6">
    <w:name w:val="List Table 5 Dark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7">
    <w:name w:val="List Table 5 Dark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8">
    <w:name w:val="List Table 5 Dark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39">
    <w:name w:val="List Table 6 Colorful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47">
    <w:name w:val="List Table 7 Colorful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48">
    <w:name w:val="List Table 7 Colorful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49">
    <w:name w:val="List Table 7 Colorful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50">
    <w:name w:val="List Table 7 Colorful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51">
    <w:name w:val="List Table 7 Colorful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52">
    <w:name w:val="List Table 7 Colorful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53">
    <w:name w:val="Lined - Accent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55">
    <w:name w:val="Lined - Accent 2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56">
    <w:name w:val="Lined - Accent 3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57">
    <w:name w:val="Lined - Accent 4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58">
    <w:name w:val="Lined - Accent 5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59">
    <w:name w:val="Lined - Accent 6"/>
    <w:basedOn w:val="78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0">
    <w:name w:val="Bordered &amp; Lined - Accent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62">
    <w:name w:val="Bordered &amp; Lined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63">
    <w:name w:val="Bordered &amp; Lined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64">
    <w:name w:val="Bordered &amp; Lined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65">
    <w:name w:val="Bordered &amp; Lined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66">
    <w:name w:val="Bordered &amp; Lined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67">
    <w:name w:val="Bordered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78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87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Table Grid"/>
    <w:basedOn w:val="78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u34@rosim.ru" TargetMode="External"/><Relationship Id="rId5" Type="http://schemas.openxmlformats.org/officeDocument/2006/relationships/hyperlink" Target="http://www.rts-tender.ru/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Application>LibreOffice/7.3.7.2$Linux_X86_64 LibreOffice_project/30$Build-2</Application>
  <AppVersion>15.0000</AppVersion>
  <Pages>4</Pages>
  <Words>1237</Words>
  <Characters>8764</Characters>
  <CharactersWithSpaces>9880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2025-10-01T06:43:51Z</dcterms:created>
  <dc:creator/>
  <dc:description/>
  <dc:language>ru-RU</dc:language>
  <cp:lastModifiedBy/>
  <cp:lastPrinted>2026-07-06T13:54:43Z</cp:lastPrinted>
  <dcterms:modified xsi:type="dcterms:W3CDTF">2026-07-08T15:57:26Z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